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67A67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867A67" w:rsidRPr="00D74EAE" w:rsidP="00867A67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(10.HAFTA)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D74EAE" w:rsidR="00B25D76">
        <w:rPr>
          <w:rFonts w:ascii="Tahoma" w:hAnsi="Tahoma" w:cs="Tahoma"/>
          <w:b/>
          <w:sz w:val="20"/>
          <w:szCs w:val="20"/>
        </w:rPr>
        <w:t>17-21</w:t>
      </w:r>
      <w:r w:rsidRPr="00D74EAE">
        <w:rPr>
          <w:rFonts w:ascii="Tahoma" w:hAnsi="Tahoma" w:cs="Tahoma"/>
          <w:b/>
          <w:sz w:val="20"/>
          <w:szCs w:val="20"/>
        </w:rPr>
        <w:t xml:space="preserve"> KASIM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İyileştirici Güç: Sevgi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T.4.3.6 Okuma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T.4.3.20. Okuduğu metinlerdeki hikâye unsurlarını belirler.</w:t>
            </w:r>
          </w:p>
          <w:p w:rsidR="00172715" w:rsidRPr="00D74EAE" w:rsidP="005A1698">
            <w:pPr>
              <w:pStyle w:val="NoSpacing"/>
            </w:pPr>
            <w:r w:rsidRPr="00D74EAE">
              <w:t>T.4.3.21. Okuduğu metnin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T.4.3.26. Metindeki gerçek ve hayalî ögeleri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İyileştirici Güç: Sevgi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Sokak hayvanlarının yaşadığı zorluklar nelerdir?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İyileştirici Güç: Sevgi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İyileştirici Güç: Sevgi</w:t>
            </w:r>
            <w:r w:rsidRPr="00D74EAE">
              <w:rPr>
                <w:rFonts w:ascii="Tahoma" w:hAnsi="Tahoma" w:cs="Tahoma"/>
              </w:rPr>
              <w:t xml:space="preserve"> okuma kurallarına uygun olarak okunur.</w:t>
            </w:r>
            <w:r w:rsidRPr="00D74EAE">
              <w:rPr>
                <w:rFonts w:ascii="Tahoma" w:hAnsi="Tahoma" w:cs="Tahoma"/>
                <w:b/>
              </w:rPr>
              <w:t xml:space="preserve"> 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80)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81) Konu ve ana duygu etkinliği yapılır. Hikâye unsurları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82) Sorun ve çözüm etkinliği yapılır. Büyük harflerin kullanımı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83) Hayali ve gerçek unsurlar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B25D7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Metnin konusu, olay örgüsü, mekân, zaman şahıs ve varlık kadrosu unsurlarına değinilir.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 metinde işaret edilen problem durumlarını tespit etmeleri ve bunlara farklı çözüm yolları bulmaları için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